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EDD" w:rsidRPr="00546A63" w:rsidRDefault="008A7EDD" w:rsidP="00546A6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,BoldItalic" w:hAnsi="Palatino Linotype,BoldItalic" w:cs="Palatino Linotype,BoldItalic"/>
          <w:b/>
          <w:bCs/>
          <w:i/>
          <w:iCs/>
          <w:color w:val="000000"/>
          <w:sz w:val="24"/>
          <w:szCs w:val="24"/>
        </w:rPr>
      </w:pPr>
      <w:r w:rsidRPr="00546A63">
        <w:rPr>
          <w:rFonts w:ascii="Palatino Linotype,Bold" w:hAnsi="Palatino Linotype,Bold" w:cs="Palatino Linotype,Bold"/>
          <w:b/>
          <w:bCs/>
          <w:color w:val="000000"/>
          <w:sz w:val="24"/>
          <w:szCs w:val="24"/>
        </w:rPr>
        <w:t xml:space="preserve">Laboratorio teologico-pastorale: </w:t>
      </w:r>
      <w:r w:rsidRPr="00546A63">
        <w:rPr>
          <w:rFonts w:ascii="Palatino Linotype,BoldItalic" w:hAnsi="Palatino Linotype,BoldItalic" w:cs="Palatino Linotype,BoldItalic"/>
          <w:b/>
          <w:bCs/>
          <w:i/>
          <w:iCs/>
          <w:color w:val="000000"/>
          <w:sz w:val="24"/>
          <w:szCs w:val="24"/>
        </w:rPr>
        <w:t>Catechesi degli adulti prof. Francesco Rossi</w:t>
      </w:r>
    </w:p>
    <w:p w:rsidR="008A7EDD" w:rsidRPr="00546A63" w:rsidRDefault="008A7EDD" w:rsidP="00546A6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</w:pPr>
      <w:r w:rsidRPr="00546A63"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  <w:t xml:space="preserve">ECTS 6 Indirizzo pastorale-catechetico-liturgico Corso semestrale (2 ore sett. II </w:t>
      </w:r>
      <w:proofErr w:type="spellStart"/>
      <w:r w:rsidRPr="00546A63"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  <w:t>sem</w:t>
      </w:r>
      <w:proofErr w:type="spellEnd"/>
      <w:r w:rsidRPr="00546A63"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  <w:t>.)</w:t>
      </w:r>
    </w:p>
    <w:p w:rsidR="00546A63" w:rsidRDefault="00546A63" w:rsidP="00546A6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,Bold" w:hAnsi="Palatino Linotype,Bold" w:cs="Palatino Linotype,Bold"/>
          <w:b/>
          <w:bCs/>
          <w:color w:val="000000"/>
          <w:sz w:val="24"/>
          <w:szCs w:val="24"/>
        </w:rPr>
      </w:pPr>
    </w:p>
    <w:p w:rsidR="008A7EDD" w:rsidRPr="00546A63" w:rsidRDefault="008A7EDD" w:rsidP="00546A6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color w:val="000000"/>
          <w:sz w:val="24"/>
          <w:szCs w:val="24"/>
        </w:rPr>
      </w:pPr>
      <w:r w:rsidRPr="00546A63">
        <w:rPr>
          <w:rFonts w:ascii="Palatino Linotype,Bold" w:hAnsi="Palatino Linotype,Bold" w:cs="Palatino Linotype,Bold"/>
          <w:b/>
          <w:bCs/>
          <w:color w:val="000000"/>
          <w:sz w:val="24"/>
          <w:szCs w:val="24"/>
        </w:rPr>
        <w:t xml:space="preserve">Obiettivi didattici: </w:t>
      </w:r>
      <w:r w:rsidRPr="00546A63">
        <w:rPr>
          <w:rFonts w:ascii="Palatino Linotype" w:hAnsi="Palatino Linotype" w:cs="Palatino Linotype"/>
          <w:color w:val="000000"/>
          <w:sz w:val="24"/>
          <w:szCs w:val="24"/>
        </w:rPr>
        <w:t>Affrontare nella prassi ecclesiale l’annuncio e la testimonianza</w:t>
      </w:r>
    </w:p>
    <w:p w:rsidR="008A7EDD" w:rsidRPr="00546A63" w:rsidRDefault="008A7EDD" w:rsidP="00546A6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color w:val="000000"/>
          <w:sz w:val="24"/>
          <w:szCs w:val="24"/>
        </w:rPr>
      </w:pPr>
      <w:r w:rsidRPr="00546A63">
        <w:rPr>
          <w:rFonts w:ascii="Palatino Linotype" w:hAnsi="Palatino Linotype" w:cs="Palatino Linotype"/>
          <w:color w:val="000000"/>
          <w:sz w:val="24"/>
          <w:szCs w:val="24"/>
        </w:rPr>
        <w:t>della fede nel mondo degli adulti; avviare “la formazione permanente di approfondimento della Parola di Dio e sui contenuti della fede” (I.G. n.24). Integrare catecumenato, iniziazione cristiana e risveglio della fede come riscoperta del primo annuncio per formare testimoni significativi e annunciatori credibili del Vangelo per il nostro tempo.</w:t>
      </w:r>
    </w:p>
    <w:p w:rsidR="00546A63" w:rsidRDefault="00546A63" w:rsidP="00546A6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,Bold" w:hAnsi="Palatino Linotype,Bold" w:cs="Palatino Linotype,Bold"/>
          <w:b/>
          <w:bCs/>
          <w:color w:val="000000"/>
          <w:sz w:val="24"/>
          <w:szCs w:val="24"/>
        </w:rPr>
      </w:pPr>
    </w:p>
    <w:p w:rsidR="008A7EDD" w:rsidRPr="00546A63" w:rsidRDefault="008A7EDD" w:rsidP="00546A6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color w:val="000000"/>
          <w:sz w:val="24"/>
          <w:szCs w:val="24"/>
        </w:rPr>
      </w:pPr>
      <w:r w:rsidRPr="00546A63">
        <w:rPr>
          <w:rFonts w:ascii="Palatino Linotype,Bold" w:hAnsi="Palatino Linotype,Bold" w:cs="Palatino Linotype,Bold"/>
          <w:b/>
          <w:bCs/>
          <w:color w:val="000000"/>
          <w:sz w:val="24"/>
          <w:szCs w:val="24"/>
        </w:rPr>
        <w:t xml:space="preserve">Contenuti: </w:t>
      </w:r>
      <w:r w:rsidRPr="00546A63">
        <w:rPr>
          <w:rFonts w:ascii="Palatino Linotype" w:hAnsi="Palatino Linotype" w:cs="Palatino Linotype"/>
          <w:color w:val="000000"/>
          <w:sz w:val="24"/>
          <w:szCs w:val="24"/>
        </w:rPr>
        <w:t>Analisi delle schede dell’Itinerario catechistico della Diocesi di Udine</w:t>
      </w:r>
    </w:p>
    <w:p w:rsidR="008A7EDD" w:rsidRPr="00546A63" w:rsidRDefault="008A7EDD" w:rsidP="00546A6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color w:val="000000"/>
          <w:sz w:val="24"/>
          <w:szCs w:val="24"/>
        </w:rPr>
      </w:pPr>
      <w:r w:rsidRPr="00546A63">
        <w:rPr>
          <w:rFonts w:ascii="Palatino Linotype" w:hAnsi="Palatino Linotype" w:cs="Palatino Linotype"/>
          <w:color w:val="000000"/>
          <w:sz w:val="24"/>
          <w:szCs w:val="24"/>
        </w:rPr>
        <w:t>per il catecumenato degli adulti: quale cristologia e teologia emerge e come si traduce nell’esperienza sacramentale dei ricomincianti della fede. Come ripensare e</w:t>
      </w:r>
    </w:p>
    <w:p w:rsidR="008A7EDD" w:rsidRPr="00546A63" w:rsidRDefault="008A7EDD" w:rsidP="00546A6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color w:val="000000"/>
          <w:sz w:val="24"/>
          <w:szCs w:val="24"/>
        </w:rPr>
      </w:pPr>
      <w:r w:rsidRPr="00546A63">
        <w:rPr>
          <w:rFonts w:ascii="Palatino Linotype" w:hAnsi="Palatino Linotype" w:cs="Palatino Linotype"/>
          <w:color w:val="000000"/>
          <w:sz w:val="24"/>
          <w:szCs w:val="24"/>
        </w:rPr>
        <w:t>fondare la propria esistenza sulla Parola di Dio e riformulare oggi il Simbolo della</w:t>
      </w:r>
    </w:p>
    <w:p w:rsidR="008A7EDD" w:rsidRPr="00546A63" w:rsidRDefault="008A7EDD" w:rsidP="00546A6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color w:val="000000"/>
          <w:sz w:val="24"/>
          <w:szCs w:val="24"/>
        </w:rPr>
      </w:pPr>
      <w:r w:rsidRPr="00546A63">
        <w:rPr>
          <w:rFonts w:ascii="Palatino Linotype" w:hAnsi="Palatino Linotype" w:cs="Palatino Linotype"/>
          <w:color w:val="000000"/>
          <w:sz w:val="24"/>
          <w:szCs w:val="24"/>
        </w:rPr>
        <w:t>fede in una vita cristiana adulta.</w:t>
      </w:r>
    </w:p>
    <w:p w:rsidR="00546A63" w:rsidRDefault="00546A63" w:rsidP="00546A6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,Bold" w:hAnsi="Palatino Linotype,Bold" w:cs="Palatino Linotype,Bold"/>
          <w:b/>
          <w:bCs/>
          <w:color w:val="000000"/>
          <w:sz w:val="24"/>
          <w:szCs w:val="24"/>
        </w:rPr>
      </w:pPr>
    </w:p>
    <w:p w:rsidR="008A7EDD" w:rsidRPr="00546A63" w:rsidRDefault="008A7EDD" w:rsidP="00546A6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color w:val="000000"/>
          <w:sz w:val="24"/>
          <w:szCs w:val="24"/>
        </w:rPr>
      </w:pPr>
      <w:r w:rsidRPr="00546A63">
        <w:rPr>
          <w:rFonts w:ascii="Palatino Linotype,Bold" w:hAnsi="Palatino Linotype,Bold" w:cs="Palatino Linotype,Bold"/>
          <w:b/>
          <w:bCs/>
          <w:color w:val="000000"/>
          <w:sz w:val="24"/>
          <w:szCs w:val="24"/>
        </w:rPr>
        <w:t xml:space="preserve">Modalità di svolgimento: </w:t>
      </w:r>
      <w:r w:rsidRPr="00546A63">
        <w:rPr>
          <w:rFonts w:ascii="Palatino Linotype" w:hAnsi="Palatino Linotype" w:cs="Palatino Linotype"/>
          <w:color w:val="000000"/>
          <w:sz w:val="24"/>
          <w:szCs w:val="24"/>
        </w:rPr>
        <w:t>Introduzione ai temi principali, lettura e confronto dei</w:t>
      </w:r>
    </w:p>
    <w:p w:rsidR="008A7EDD" w:rsidRPr="00546A63" w:rsidRDefault="008A7EDD" w:rsidP="00546A6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color w:val="000000"/>
          <w:sz w:val="24"/>
          <w:szCs w:val="24"/>
        </w:rPr>
      </w:pPr>
      <w:r w:rsidRPr="00546A63">
        <w:rPr>
          <w:rFonts w:ascii="Palatino Linotype" w:hAnsi="Palatino Linotype" w:cs="Palatino Linotype"/>
          <w:color w:val="000000"/>
          <w:sz w:val="24"/>
          <w:szCs w:val="24"/>
        </w:rPr>
        <w:t>testi, ricerca su alcuni problemi emergenti nel vissuto pastorale per preparare un</w:t>
      </w:r>
    </w:p>
    <w:p w:rsidR="008A7EDD" w:rsidRPr="00546A63" w:rsidRDefault="008A7EDD" w:rsidP="00546A6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color w:val="000000"/>
          <w:sz w:val="24"/>
          <w:szCs w:val="24"/>
        </w:rPr>
      </w:pPr>
      <w:r w:rsidRPr="00546A63">
        <w:rPr>
          <w:rFonts w:ascii="Palatino Linotype" w:hAnsi="Palatino Linotype" w:cs="Palatino Linotype"/>
          <w:color w:val="000000"/>
          <w:sz w:val="24"/>
          <w:szCs w:val="24"/>
        </w:rPr>
        <w:t>incontro di catechesi con gli adulti.</w:t>
      </w:r>
    </w:p>
    <w:p w:rsidR="00546A63" w:rsidRDefault="00546A63" w:rsidP="00546A6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,Bold" w:hAnsi="Palatino Linotype,Bold" w:cs="Palatino Linotype,Bold"/>
          <w:b/>
          <w:bCs/>
          <w:color w:val="000000"/>
          <w:sz w:val="24"/>
          <w:szCs w:val="24"/>
        </w:rPr>
      </w:pPr>
    </w:p>
    <w:p w:rsidR="008A7EDD" w:rsidRPr="00546A63" w:rsidRDefault="008A7EDD" w:rsidP="00546A6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color w:val="000000"/>
          <w:sz w:val="24"/>
          <w:szCs w:val="24"/>
        </w:rPr>
      </w:pPr>
      <w:r w:rsidRPr="00546A63">
        <w:rPr>
          <w:rFonts w:ascii="Palatino Linotype,Bold" w:hAnsi="Palatino Linotype,Bold" w:cs="Palatino Linotype,Bold"/>
          <w:b/>
          <w:bCs/>
          <w:color w:val="000000"/>
          <w:sz w:val="24"/>
          <w:szCs w:val="24"/>
        </w:rPr>
        <w:t xml:space="preserve">Modalità di verifica: </w:t>
      </w:r>
      <w:r w:rsidRPr="00546A63">
        <w:rPr>
          <w:rFonts w:ascii="Palatino Linotype" w:hAnsi="Palatino Linotype" w:cs="Palatino Linotype"/>
          <w:color w:val="000000"/>
          <w:sz w:val="24"/>
          <w:szCs w:val="24"/>
        </w:rPr>
        <w:t xml:space="preserve">Sussidio scritto e/o presentazione in </w:t>
      </w:r>
      <w:proofErr w:type="spellStart"/>
      <w:r w:rsidRPr="00546A63">
        <w:rPr>
          <w:rFonts w:ascii="Palatino Linotype" w:hAnsi="Palatino Linotype" w:cs="Palatino Linotype"/>
          <w:color w:val="000000"/>
          <w:sz w:val="24"/>
          <w:szCs w:val="24"/>
        </w:rPr>
        <w:t>ppt</w:t>
      </w:r>
      <w:proofErr w:type="spellEnd"/>
      <w:r w:rsidRPr="00546A63">
        <w:rPr>
          <w:rFonts w:ascii="Palatino Linotype" w:hAnsi="Palatino Linotype" w:cs="Palatino Linotype"/>
          <w:color w:val="000000"/>
          <w:sz w:val="24"/>
          <w:szCs w:val="24"/>
        </w:rPr>
        <w:t xml:space="preserve"> dei contenuti per</w:t>
      </w:r>
    </w:p>
    <w:p w:rsidR="008A7EDD" w:rsidRPr="00546A63" w:rsidRDefault="008A7EDD" w:rsidP="00546A6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color w:val="000000"/>
          <w:sz w:val="24"/>
          <w:szCs w:val="24"/>
        </w:rPr>
      </w:pPr>
      <w:r w:rsidRPr="00546A63">
        <w:rPr>
          <w:rFonts w:ascii="Palatino Linotype" w:hAnsi="Palatino Linotype" w:cs="Palatino Linotype"/>
          <w:color w:val="000000"/>
          <w:sz w:val="24"/>
          <w:szCs w:val="24"/>
        </w:rPr>
        <w:t>l’incontro di catechesi degli adulti</w:t>
      </w:r>
    </w:p>
    <w:p w:rsidR="00546A63" w:rsidRDefault="00546A63" w:rsidP="00546A6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,Bold" w:hAnsi="Palatino Linotype,Bold" w:cs="Palatino Linotype,Bold"/>
          <w:b/>
          <w:bCs/>
          <w:color w:val="000000"/>
          <w:sz w:val="24"/>
          <w:szCs w:val="24"/>
        </w:rPr>
      </w:pPr>
    </w:p>
    <w:p w:rsidR="008A7EDD" w:rsidRPr="00546A63" w:rsidRDefault="008A7EDD" w:rsidP="00546A6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,Bold" w:hAnsi="Palatino Linotype,Bold" w:cs="Palatino Linotype,Bold"/>
          <w:b/>
          <w:bCs/>
          <w:color w:val="000000"/>
          <w:sz w:val="24"/>
          <w:szCs w:val="24"/>
        </w:rPr>
      </w:pPr>
      <w:r w:rsidRPr="00546A63">
        <w:rPr>
          <w:rFonts w:ascii="Palatino Linotype,Bold" w:hAnsi="Palatino Linotype,Bold" w:cs="Palatino Linotype,Bold"/>
          <w:b/>
          <w:bCs/>
          <w:color w:val="000000"/>
          <w:sz w:val="24"/>
          <w:szCs w:val="24"/>
        </w:rPr>
        <w:t>Bibliografia:</w:t>
      </w:r>
    </w:p>
    <w:p w:rsidR="008A7EDD" w:rsidRPr="00546A63" w:rsidRDefault="008A7EDD" w:rsidP="00546A6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color w:val="000000"/>
          <w:sz w:val="24"/>
          <w:szCs w:val="24"/>
        </w:rPr>
      </w:pPr>
      <w:r w:rsidRPr="00546A63">
        <w:rPr>
          <w:rFonts w:ascii="Palatino Linotype" w:hAnsi="Palatino Linotype" w:cs="Palatino Linotype"/>
          <w:color w:val="000000"/>
          <w:sz w:val="24"/>
          <w:szCs w:val="24"/>
        </w:rPr>
        <w:t>CATECHISMO DELLA CHIESA CATTOLICA, 11 ottobre 1992;</w:t>
      </w:r>
    </w:p>
    <w:p w:rsidR="008A7EDD" w:rsidRPr="00546A63" w:rsidRDefault="008A7EDD" w:rsidP="00546A6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color w:val="000000"/>
          <w:sz w:val="24"/>
          <w:szCs w:val="24"/>
        </w:rPr>
      </w:pPr>
      <w:r w:rsidRPr="00546A63">
        <w:rPr>
          <w:rFonts w:ascii="Palatino Linotype" w:hAnsi="Palatino Linotype" w:cs="Palatino Linotype"/>
          <w:color w:val="000000"/>
          <w:sz w:val="24"/>
          <w:szCs w:val="24"/>
        </w:rPr>
        <w:t xml:space="preserve">CEI, </w:t>
      </w:r>
      <w:r w:rsidRPr="00546A63"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  <w:t>La Verità vi farà liberi</w:t>
      </w:r>
      <w:r w:rsidRPr="00546A63">
        <w:rPr>
          <w:rFonts w:ascii="Palatino Linotype" w:hAnsi="Palatino Linotype" w:cs="Palatino Linotype"/>
          <w:color w:val="000000"/>
          <w:sz w:val="24"/>
          <w:szCs w:val="24"/>
        </w:rPr>
        <w:t>. Catechismo degli adulti, Roma,1995;</w:t>
      </w:r>
    </w:p>
    <w:p w:rsidR="008A7EDD" w:rsidRPr="00546A63" w:rsidRDefault="008A7EDD" w:rsidP="00546A6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color w:val="000000"/>
          <w:sz w:val="24"/>
          <w:szCs w:val="24"/>
        </w:rPr>
      </w:pPr>
      <w:r w:rsidRPr="00546A63">
        <w:rPr>
          <w:rFonts w:ascii="Palatino Linotype" w:hAnsi="Palatino Linotype" w:cs="Palatino Linotype"/>
          <w:color w:val="000000"/>
          <w:sz w:val="24"/>
          <w:szCs w:val="24"/>
        </w:rPr>
        <w:t xml:space="preserve">CEI, </w:t>
      </w:r>
      <w:r w:rsidRPr="00546A63"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  <w:t>Incontriamo Gesù. Orientamenti per l’annuncio e la catechesi in Italia</w:t>
      </w:r>
      <w:r w:rsidRPr="00546A63">
        <w:rPr>
          <w:rFonts w:ascii="Palatino Linotype" w:hAnsi="Palatino Linotype" w:cs="Palatino Linotype"/>
          <w:color w:val="000000"/>
          <w:sz w:val="24"/>
          <w:szCs w:val="24"/>
        </w:rPr>
        <w:t>, 2014;</w:t>
      </w:r>
    </w:p>
    <w:p w:rsidR="008A7EDD" w:rsidRPr="00546A63" w:rsidRDefault="008A7EDD" w:rsidP="00546A6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color w:val="000000"/>
          <w:sz w:val="24"/>
          <w:szCs w:val="24"/>
        </w:rPr>
      </w:pPr>
      <w:r w:rsidRPr="00546A63">
        <w:rPr>
          <w:rFonts w:ascii="Palatino Linotype" w:hAnsi="Palatino Linotype" w:cs="Palatino Linotype"/>
          <w:color w:val="000000"/>
          <w:sz w:val="24"/>
          <w:szCs w:val="24"/>
        </w:rPr>
        <w:t>SCHEDE DELL’ITINERARIO CATECHISTICO, Diocesi di Udine, Catecumenato degli</w:t>
      </w:r>
    </w:p>
    <w:p w:rsidR="008A7EDD" w:rsidRPr="00546A63" w:rsidRDefault="008A7EDD" w:rsidP="00546A6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color w:val="000000"/>
          <w:sz w:val="24"/>
          <w:szCs w:val="24"/>
        </w:rPr>
      </w:pPr>
      <w:r w:rsidRPr="00546A63">
        <w:rPr>
          <w:rFonts w:ascii="Palatino Linotype" w:hAnsi="Palatino Linotype" w:cs="Palatino Linotype"/>
          <w:color w:val="000000"/>
          <w:sz w:val="24"/>
          <w:szCs w:val="24"/>
        </w:rPr>
        <w:t>adulti, in www. Catecumenato.diocesiudine.it.</w:t>
      </w:r>
    </w:p>
    <w:p w:rsidR="00546A63" w:rsidRDefault="00546A63" w:rsidP="00546A6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,Bold" w:hAnsi="Palatino Linotype,Bold" w:cs="Palatino Linotype,Bold"/>
          <w:b/>
          <w:bCs/>
          <w:color w:val="000000"/>
          <w:sz w:val="24"/>
          <w:szCs w:val="24"/>
        </w:rPr>
      </w:pPr>
    </w:p>
    <w:p w:rsidR="008A7EDD" w:rsidRPr="00546A63" w:rsidRDefault="008A7EDD" w:rsidP="00546A6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,Bold" w:hAnsi="Palatino Linotype,Bold" w:cs="Palatino Linotype,Bold"/>
          <w:b/>
          <w:bCs/>
          <w:color w:val="000000"/>
          <w:sz w:val="24"/>
          <w:szCs w:val="24"/>
        </w:rPr>
      </w:pPr>
      <w:r w:rsidRPr="00546A63">
        <w:rPr>
          <w:rFonts w:ascii="Palatino Linotype,Bold" w:hAnsi="Palatino Linotype,Bold" w:cs="Palatino Linotype,Bold"/>
          <w:b/>
          <w:bCs/>
          <w:color w:val="000000"/>
          <w:sz w:val="24"/>
          <w:szCs w:val="24"/>
        </w:rPr>
        <w:t>Altro materiale bibliografico:</w:t>
      </w:r>
    </w:p>
    <w:p w:rsidR="008A7EDD" w:rsidRPr="00546A63" w:rsidRDefault="008A7EDD" w:rsidP="00546A6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color w:val="222222"/>
          <w:sz w:val="24"/>
          <w:szCs w:val="24"/>
        </w:rPr>
      </w:pPr>
      <w:r w:rsidRPr="00546A63">
        <w:rPr>
          <w:rFonts w:ascii="Palatino Linotype" w:hAnsi="Palatino Linotype" w:cs="Palatino Linotype"/>
          <w:color w:val="222222"/>
          <w:sz w:val="24"/>
          <w:szCs w:val="24"/>
        </w:rPr>
        <w:t xml:space="preserve">L’INIZIAZIONE CRISTIANA 3. </w:t>
      </w:r>
      <w:r w:rsidRPr="00546A63">
        <w:rPr>
          <w:rFonts w:ascii="Palatino Linotype,Italic" w:hAnsi="Palatino Linotype,Italic" w:cs="Palatino Linotype,Italic"/>
          <w:i/>
          <w:iCs/>
          <w:color w:val="222222"/>
          <w:sz w:val="24"/>
          <w:szCs w:val="24"/>
        </w:rPr>
        <w:t>Orientamenti per il risveglio della fede e il completamento dell’iniziazione cristiana in età adulta</w:t>
      </w:r>
      <w:r w:rsidRPr="00546A63">
        <w:rPr>
          <w:rFonts w:ascii="Palatino Linotype" w:hAnsi="Palatino Linotype" w:cs="Palatino Linotype"/>
          <w:color w:val="222222"/>
          <w:sz w:val="24"/>
          <w:szCs w:val="24"/>
        </w:rPr>
        <w:t>. Nota pastorale del Consiglio Episcopale Permanente;</w:t>
      </w:r>
    </w:p>
    <w:p w:rsidR="00F93371" w:rsidRPr="00546A63" w:rsidRDefault="008A7EDD" w:rsidP="00546A63">
      <w:pPr>
        <w:jc w:val="both"/>
        <w:rPr>
          <w:rFonts w:ascii="Palatino Linotype" w:hAnsi="Palatino Linotype" w:cs="Palatino Linotype"/>
          <w:color w:val="000000"/>
          <w:sz w:val="24"/>
          <w:szCs w:val="24"/>
        </w:rPr>
      </w:pPr>
      <w:r w:rsidRPr="00546A63">
        <w:rPr>
          <w:rFonts w:ascii="Palatino Linotype" w:hAnsi="Palatino Linotype" w:cs="Palatino Linotype"/>
          <w:color w:val="000000"/>
          <w:sz w:val="24"/>
          <w:szCs w:val="24"/>
        </w:rPr>
        <w:t xml:space="preserve">PAPA FRANCESCO, </w:t>
      </w:r>
      <w:proofErr w:type="spellStart"/>
      <w:r w:rsidRPr="00546A63"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  <w:t>Evangelii</w:t>
      </w:r>
      <w:proofErr w:type="spellEnd"/>
      <w:r w:rsidRPr="00546A63"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  <w:t xml:space="preserve"> </w:t>
      </w:r>
      <w:proofErr w:type="spellStart"/>
      <w:r w:rsidRPr="00546A63"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  <w:t>Gaudium</w:t>
      </w:r>
      <w:proofErr w:type="spellEnd"/>
      <w:r w:rsidRPr="00546A63">
        <w:rPr>
          <w:rFonts w:ascii="Palatino Linotype" w:hAnsi="Palatino Linotype" w:cs="Palatino Linotype"/>
          <w:color w:val="000000"/>
          <w:sz w:val="24"/>
          <w:szCs w:val="24"/>
        </w:rPr>
        <w:t>, Città del Vaticano, 2013.</w:t>
      </w:r>
    </w:p>
    <w:p w:rsidR="00956F0D" w:rsidRPr="00546A63" w:rsidRDefault="00956F0D" w:rsidP="00546A63">
      <w:pPr>
        <w:jc w:val="both"/>
        <w:rPr>
          <w:rFonts w:ascii="Palatino Linotype" w:hAnsi="Palatino Linotype" w:cs="Palatino Linotype"/>
          <w:color w:val="000000"/>
          <w:sz w:val="24"/>
          <w:szCs w:val="24"/>
        </w:rPr>
      </w:pPr>
      <w:r w:rsidRPr="00546A63">
        <w:rPr>
          <w:rFonts w:ascii="Palatino Linotype" w:hAnsi="Palatino Linotype" w:cs="Palatino Linotype"/>
          <w:color w:val="000000"/>
          <w:sz w:val="24"/>
          <w:szCs w:val="24"/>
        </w:rPr>
        <w:softHyphen/>
      </w:r>
      <w:r w:rsidRPr="00546A63">
        <w:rPr>
          <w:rFonts w:ascii="Palatino Linotype" w:hAnsi="Palatino Linotype" w:cs="Palatino Linotype"/>
          <w:color w:val="000000"/>
          <w:sz w:val="24"/>
          <w:szCs w:val="24"/>
        </w:rPr>
        <w:softHyphen/>
      </w:r>
      <w:r w:rsidRPr="00546A63">
        <w:rPr>
          <w:rFonts w:ascii="Palatino Linotype" w:hAnsi="Palatino Linotype" w:cs="Palatino Linotype"/>
          <w:color w:val="000000"/>
          <w:sz w:val="24"/>
          <w:szCs w:val="24"/>
        </w:rPr>
        <w:softHyphen/>
      </w:r>
      <w:r w:rsidRPr="00546A63">
        <w:rPr>
          <w:rFonts w:ascii="Palatino Linotype" w:hAnsi="Palatino Linotype" w:cs="Palatino Linotype"/>
          <w:color w:val="000000"/>
          <w:sz w:val="24"/>
          <w:szCs w:val="24"/>
        </w:rPr>
        <w:softHyphen/>
      </w:r>
      <w:r w:rsidRPr="00546A63">
        <w:rPr>
          <w:rFonts w:ascii="Palatino Linotype" w:hAnsi="Palatino Linotype" w:cs="Palatino Linotype"/>
          <w:color w:val="000000"/>
          <w:sz w:val="24"/>
          <w:szCs w:val="24"/>
        </w:rPr>
        <w:softHyphen/>
      </w:r>
      <w:r w:rsidRPr="00546A63">
        <w:rPr>
          <w:rFonts w:ascii="Palatino Linotype" w:hAnsi="Palatino Linotype" w:cs="Palatino Linotype"/>
          <w:color w:val="000000"/>
          <w:sz w:val="24"/>
          <w:szCs w:val="24"/>
        </w:rPr>
        <w:softHyphen/>
      </w:r>
      <w:r w:rsidRPr="00546A63">
        <w:rPr>
          <w:rFonts w:ascii="Palatino Linotype" w:hAnsi="Palatino Linotype" w:cs="Palatino Linotype"/>
          <w:color w:val="000000"/>
          <w:sz w:val="24"/>
          <w:szCs w:val="24"/>
        </w:rPr>
        <w:softHyphen/>
      </w:r>
      <w:r w:rsidRPr="00546A63">
        <w:rPr>
          <w:rFonts w:ascii="Palatino Linotype" w:hAnsi="Palatino Linotype" w:cs="Palatino Linotype"/>
          <w:color w:val="000000"/>
          <w:sz w:val="24"/>
          <w:szCs w:val="24"/>
        </w:rPr>
        <w:softHyphen/>
      </w:r>
      <w:r w:rsidRPr="00546A63">
        <w:rPr>
          <w:rFonts w:ascii="Palatino Linotype" w:hAnsi="Palatino Linotype" w:cs="Palatino Linotype"/>
          <w:color w:val="000000"/>
          <w:sz w:val="24"/>
          <w:szCs w:val="24"/>
        </w:rPr>
        <w:softHyphen/>
      </w:r>
      <w:r w:rsidRPr="00546A63">
        <w:rPr>
          <w:rFonts w:ascii="Palatino Linotype" w:hAnsi="Palatino Linotype" w:cs="Palatino Linotype"/>
          <w:color w:val="000000"/>
          <w:sz w:val="24"/>
          <w:szCs w:val="24"/>
        </w:rPr>
        <w:softHyphen/>
      </w:r>
      <w:r w:rsidRPr="00546A63">
        <w:rPr>
          <w:rFonts w:ascii="Palatino Linotype" w:hAnsi="Palatino Linotype" w:cs="Palatino Linotype"/>
          <w:color w:val="000000"/>
          <w:sz w:val="24"/>
          <w:szCs w:val="24"/>
        </w:rPr>
        <w:softHyphen/>
      </w:r>
      <w:r w:rsidRPr="00546A63">
        <w:rPr>
          <w:rFonts w:ascii="Palatino Linotype" w:hAnsi="Palatino Linotype" w:cs="Palatino Linotype"/>
          <w:color w:val="000000"/>
          <w:sz w:val="24"/>
          <w:szCs w:val="24"/>
        </w:rPr>
        <w:softHyphen/>
      </w:r>
      <w:r w:rsidRPr="00546A63">
        <w:rPr>
          <w:rFonts w:ascii="Palatino Linotype" w:hAnsi="Palatino Linotype" w:cs="Palatino Linotype"/>
          <w:color w:val="000000"/>
          <w:sz w:val="24"/>
          <w:szCs w:val="24"/>
        </w:rPr>
        <w:softHyphen/>
      </w:r>
      <w:r w:rsidRPr="00546A63">
        <w:rPr>
          <w:rFonts w:ascii="Palatino Linotype" w:hAnsi="Palatino Linotype" w:cs="Palatino Linotype"/>
          <w:color w:val="000000"/>
          <w:sz w:val="24"/>
          <w:szCs w:val="24"/>
        </w:rPr>
        <w:softHyphen/>
      </w:r>
      <w:r w:rsidRPr="00546A63">
        <w:rPr>
          <w:rFonts w:ascii="Palatino Linotype" w:hAnsi="Palatino Linotype" w:cs="Palatino Linotype"/>
          <w:color w:val="000000"/>
          <w:sz w:val="24"/>
          <w:szCs w:val="24"/>
        </w:rPr>
        <w:softHyphen/>
      </w:r>
      <w:r w:rsidRPr="00546A63">
        <w:rPr>
          <w:rFonts w:ascii="Palatino Linotype" w:hAnsi="Palatino Linotype" w:cs="Palatino Linotype"/>
          <w:color w:val="000000"/>
          <w:sz w:val="24"/>
          <w:szCs w:val="24"/>
        </w:rPr>
        <w:softHyphen/>
      </w:r>
      <w:r w:rsidRPr="00546A63">
        <w:rPr>
          <w:rFonts w:ascii="Palatino Linotype" w:hAnsi="Palatino Linotype" w:cs="Palatino Linotype"/>
          <w:color w:val="000000"/>
          <w:sz w:val="24"/>
          <w:szCs w:val="24"/>
        </w:rPr>
        <w:softHyphen/>
      </w:r>
      <w:r w:rsidRPr="00546A63">
        <w:rPr>
          <w:rFonts w:ascii="Palatino Linotype" w:hAnsi="Palatino Linotype" w:cs="Palatino Linotype"/>
          <w:color w:val="000000"/>
          <w:sz w:val="24"/>
          <w:szCs w:val="24"/>
        </w:rPr>
        <w:softHyphen/>
      </w:r>
      <w:r w:rsidRPr="00546A63">
        <w:rPr>
          <w:rFonts w:ascii="Palatino Linotype" w:hAnsi="Palatino Linotype" w:cs="Palatino Linotype"/>
          <w:color w:val="000000"/>
          <w:sz w:val="24"/>
          <w:szCs w:val="24"/>
        </w:rPr>
        <w:softHyphen/>
      </w:r>
      <w:r w:rsidRPr="00546A63">
        <w:rPr>
          <w:rFonts w:ascii="Palatino Linotype" w:hAnsi="Palatino Linotype" w:cs="Palatino Linotype"/>
          <w:color w:val="000000"/>
          <w:sz w:val="24"/>
          <w:szCs w:val="24"/>
        </w:rPr>
        <w:softHyphen/>
        <w:t>________________</w:t>
      </w:r>
    </w:p>
    <w:p w:rsidR="00D71186" w:rsidRPr="00546A63" w:rsidRDefault="00956F0D" w:rsidP="00546A63">
      <w:pPr>
        <w:jc w:val="both"/>
        <w:rPr>
          <w:sz w:val="24"/>
          <w:szCs w:val="24"/>
        </w:rPr>
      </w:pPr>
      <w:r w:rsidRPr="00546A63">
        <w:rPr>
          <w:sz w:val="24"/>
          <w:szCs w:val="24"/>
        </w:rPr>
        <w:t xml:space="preserve">Per partecipare “on line” al Laboratorio è necessario scrivere una mail alla Segreteria dell’Istituto Superiore di Scienze Religiose:  </w:t>
      </w:r>
      <w:hyperlink r:id="rId4" w:history="1">
        <w:r w:rsidRPr="00546A63">
          <w:rPr>
            <w:rStyle w:val="Collegamentoipertestuale"/>
            <w:sz w:val="24"/>
            <w:szCs w:val="24"/>
          </w:rPr>
          <w:t>info@issrudine.it</w:t>
        </w:r>
      </w:hyperlink>
      <w:r w:rsidRPr="00546A63">
        <w:rPr>
          <w:sz w:val="24"/>
          <w:szCs w:val="24"/>
        </w:rPr>
        <w:t xml:space="preserve">   che fornirà le indicazioni necessarie per collegarsi agli incontri, che si terranno il mercoledì dalle ore 20.00 alle ore 21.30 a partire dal prossimo 24 febbraio 2021.</w:t>
      </w:r>
    </w:p>
    <w:p w:rsidR="00D71186" w:rsidRPr="00546A63" w:rsidRDefault="00D71186" w:rsidP="00546A63">
      <w:pPr>
        <w:jc w:val="both"/>
        <w:rPr>
          <w:sz w:val="24"/>
          <w:szCs w:val="24"/>
          <w:lang w:val="en-US"/>
        </w:rPr>
      </w:pPr>
      <w:proofErr w:type="spellStart"/>
      <w:r w:rsidRPr="00546A63">
        <w:rPr>
          <w:sz w:val="24"/>
          <w:szCs w:val="24"/>
          <w:lang w:val="en-US"/>
        </w:rPr>
        <w:t>Sito</w:t>
      </w:r>
      <w:proofErr w:type="spellEnd"/>
      <w:r w:rsidRPr="00546A63">
        <w:rPr>
          <w:sz w:val="24"/>
          <w:szCs w:val="24"/>
          <w:lang w:val="en-US"/>
        </w:rPr>
        <w:t xml:space="preserve"> web: </w:t>
      </w:r>
      <w:hyperlink r:id="rId5" w:history="1">
        <w:r w:rsidRPr="00546A63">
          <w:rPr>
            <w:rStyle w:val="Collegamentoipertestuale"/>
            <w:sz w:val="24"/>
            <w:szCs w:val="24"/>
            <w:lang w:val="en-US"/>
          </w:rPr>
          <w:t>www.issrudine.it</w:t>
        </w:r>
      </w:hyperlink>
      <w:r w:rsidRPr="00546A63">
        <w:rPr>
          <w:sz w:val="24"/>
          <w:szCs w:val="24"/>
          <w:lang w:val="en-US"/>
        </w:rPr>
        <w:t xml:space="preserve">  </w:t>
      </w:r>
    </w:p>
    <w:p w:rsidR="00956F0D" w:rsidRPr="00546A63" w:rsidRDefault="00D71186" w:rsidP="00546A63">
      <w:pPr>
        <w:jc w:val="both"/>
        <w:rPr>
          <w:sz w:val="24"/>
          <w:szCs w:val="24"/>
          <w:lang w:val="en-US"/>
        </w:rPr>
      </w:pPr>
      <w:r w:rsidRPr="00546A63">
        <w:rPr>
          <w:sz w:val="24"/>
          <w:szCs w:val="24"/>
          <w:lang w:val="en-US"/>
        </w:rPr>
        <w:t xml:space="preserve">Tel.: 0432.298120 </w:t>
      </w:r>
      <w:bookmarkStart w:id="0" w:name="_GoBack"/>
      <w:bookmarkEnd w:id="0"/>
      <w:r w:rsidR="00956F0D" w:rsidRPr="00546A63">
        <w:rPr>
          <w:sz w:val="24"/>
          <w:szCs w:val="24"/>
          <w:lang w:val="en-US"/>
        </w:rPr>
        <w:t xml:space="preserve"> </w:t>
      </w:r>
    </w:p>
    <w:sectPr w:rsidR="00956F0D" w:rsidRPr="00546A63" w:rsidSect="00B03E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 Linotype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 Linotype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8A7EDD"/>
    <w:rsid w:val="00546A63"/>
    <w:rsid w:val="008A7EDD"/>
    <w:rsid w:val="00956F0D"/>
    <w:rsid w:val="00B03E54"/>
    <w:rsid w:val="00D71186"/>
    <w:rsid w:val="00F93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3E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56F0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ssrudine.it" TargetMode="External"/><Relationship Id="rId4" Type="http://schemas.openxmlformats.org/officeDocument/2006/relationships/hyperlink" Target="mailto:info@issrudi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Elda Pregeli</cp:lastModifiedBy>
  <cp:revision>6</cp:revision>
  <dcterms:created xsi:type="dcterms:W3CDTF">2021-02-12T09:18:00Z</dcterms:created>
  <dcterms:modified xsi:type="dcterms:W3CDTF">2021-02-16T08:25:00Z</dcterms:modified>
</cp:coreProperties>
</file>